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7376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36"/>
          <w:szCs w:val="36"/>
          <w:rtl w:val="0"/>
        </w:rPr>
        <w:t xml:space="preserve">Participant Contract</w:t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7185"/>
        <w:gridCol w:w="2175"/>
        <w:tblGridChange w:id="0">
          <w:tblGrid>
            <w:gridCol w:w="7185"/>
            <w:gridCol w:w="2175"/>
          </w:tblGrid>
        </w:tblGridChange>
      </w:tblGrid>
      <w:tr>
        <w:trPr>
          <w:trHeight w:val="234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Participant Name: 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Program Name: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73763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36"/>
          <w:szCs w:val="36"/>
          <w:rtl w:val="0"/>
        </w:rPr>
        <w:t xml:space="preserve">Agreement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115"/>
        <w:gridCol w:w="1245"/>
        <w:tblGridChange w:id="0">
          <w:tblGrid>
            <w:gridCol w:w="8115"/>
            <w:gridCol w:w="124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understand and agree to the following: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Initial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will download and install the ConnectComply application on my Android or iOS (iPhone) smartphone; the application is available from Google Play or iOS App Store.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If I change phones, I will immediately install and log in to ConnectComply on my new device.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will carry my phone with me at all times and maintain active data service.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will notify my Case Manager, in advance, if I will be out of cell phone or WiFi range for more than 10 minutes.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will not put my phone into “Do Not Disturb” or silent mode.  I agree that not hearing my phone go off will mean that I am out of compliance with the terms of this program, and will result in sanctions.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will not attempt to manipulate my check-ins in any way.  ConnectComply has multiple systems in place to detect manipulation, and attempts will be reported to your case manager and/or judge.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Once logged in, I will agree to any on-screen prompts (e.g. allowing notifications, camera access,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If I lose or misplace my phone, I will contact my case manager immediately.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I must respond to any notifications from the ConnectComply application.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73763"/>
                <w:sz w:val="20"/>
                <w:szCs w:val="20"/>
                <w:rtl w:val="0"/>
              </w:rPr>
              <w:t xml:space="preserve">_________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 xml:space="preserve">By signing, I certify that I have reviewed these conditions and have been advised of the consequences of non-compliance. I have reviewed the conditions and understand the terms of this contract. I am willing to enter into this contract freely and voluntarily.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 xml:space="preserve">Participant Signature:__________________________________________________ Date: 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7376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73763"/>
          <w:sz w:val="20"/>
          <w:szCs w:val="20"/>
          <w:rtl w:val="0"/>
        </w:rPr>
        <w:t xml:space="preserve">Provider Signature: ____________________________________________________ Date: ____________________</w:t>
      </w:r>
    </w:p>
    <w:sectPr>
      <w:footerReference r:id="rId6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osi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>
        <w:rFonts w:ascii="Dosis" w:cs="Dosis" w:eastAsia="Dosis" w:hAnsi="Dosis"/>
      </w:rPr>
      <w:drawing>
        <wp:inline distB="114300" distT="114300" distL="114300" distR="114300">
          <wp:extent cx="2214563" cy="47911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4791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